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8E94BE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41EC5">
        <w:rPr>
          <w:noProof w:val="0"/>
          <w:sz w:val="24"/>
          <w:szCs w:val="24"/>
        </w:rPr>
        <w:t>8-e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B757A4">
        <w:rPr>
          <w:bCs/>
          <w:noProof w:val="0"/>
          <w:sz w:val="24"/>
          <w:szCs w:val="24"/>
        </w:rPr>
        <w:t>3809</w:t>
      </w:r>
    </w:p>
    <w:p w14:paraId="1822B173" w14:textId="591E52F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6604E4" w:rsidRPr="006604E4">
        <w:rPr>
          <w:rFonts w:cs="Arial"/>
          <w:sz w:val="24"/>
          <w:szCs w:val="24"/>
          <w:lang w:val="en-US"/>
        </w:rPr>
        <w:t xml:space="preserve"> – </w:t>
      </w:r>
      <w:r w:rsidR="00741EC5">
        <w:rPr>
          <w:rFonts w:cs="Arial"/>
          <w:sz w:val="24"/>
          <w:szCs w:val="24"/>
          <w:lang w:val="en-US"/>
        </w:rPr>
        <w:t>1</w:t>
      </w:r>
      <w:r w:rsidR="00C50536">
        <w:rPr>
          <w:rFonts w:cs="Arial"/>
          <w:sz w:val="24"/>
          <w:szCs w:val="24"/>
          <w:lang w:val="en-US"/>
        </w:rPr>
        <w:t>1</w:t>
      </w:r>
      <w:r w:rsidR="006604E4" w:rsidRPr="006604E4">
        <w:rPr>
          <w:rFonts w:cs="Arial"/>
          <w:sz w:val="24"/>
          <w:szCs w:val="24"/>
          <w:lang w:val="en-US"/>
        </w:rPr>
        <w:t xml:space="preserve"> </w:t>
      </w:r>
      <w:r w:rsidR="00741EC5">
        <w:rPr>
          <w:rFonts w:cs="Arial"/>
          <w:sz w:val="24"/>
          <w:szCs w:val="24"/>
          <w:lang w:val="en-US"/>
        </w:rPr>
        <w:t>June</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2D474E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529B3">
        <w:rPr>
          <w:rFonts w:cs="Arial"/>
          <w:b/>
          <w:bCs/>
          <w:sz w:val="24"/>
          <w:lang w:val="en-US" w:eastAsia="ja-JP"/>
        </w:rPr>
        <w:t>9.3.1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1A4DA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29B3" w:rsidRPr="008529B3">
        <w:rPr>
          <w:rFonts w:ascii="Arial" w:hAnsi="Arial" w:cs="Arial"/>
          <w:b/>
          <w:bCs/>
          <w:sz w:val="24"/>
        </w:rPr>
        <w:t xml:space="preserve">On the link between Global </w:t>
      </w:r>
      <w:r w:rsidR="00F07DCD">
        <w:rPr>
          <w:rFonts w:ascii="Arial" w:hAnsi="Arial" w:cs="Arial"/>
          <w:b/>
          <w:bCs/>
          <w:sz w:val="24"/>
        </w:rPr>
        <w:t>node</w:t>
      </w:r>
      <w:r w:rsidR="008529B3" w:rsidRPr="008529B3">
        <w:rPr>
          <w:rFonts w:ascii="Arial" w:hAnsi="Arial" w:cs="Arial"/>
          <w:b/>
          <w:bCs/>
          <w:sz w:val="24"/>
        </w:rPr>
        <w:t xml:space="preserve"> ID and </w:t>
      </w:r>
      <w:r w:rsidR="00F07DCD">
        <w:rPr>
          <w:rFonts w:ascii="Arial" w:hAnsi="Arial" w:cs="Arial"/>
          <w:b/>
          <w:bCs/>
          <w:sz w:val="24"/>
        </w:rPr>
        <w:t>Global cell ID</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433E6EC6" w:rsidR="00CD4C7B" w:rsidRDefault="008529B3" w:rsidP="00CD4C7B">
      <w:r>
        <w:t>In this paper we further discuss update of Network Identities definitions in TS 38.300.</w:t>
      </w:r>
      <w:r w:rsidR="000D376D">
        <w:t xml:space="preserve"> </w:t>
      </w:r>
    </w:p>
    <w:p w14:paraId="479DA40B" w14:textId="77777777" w:rsidR="00CD4C7B" w:rsidRPr="006E13D1" w:rsidRDefault="00CD4C7B" w:rsidP="00CD4C7B">
      <w:pPr>
        <w:pStyle w:val="Heading1"/>
      </w:pPr>
      <w:r w:rsidRPr="006E13D1">
        <w:t>2</w:t>
      </w:r>
      <w:r w:rsidRPr="006E13D1">
        <w:tab/>
      </w:r>
      <w:r w:rsidR="00972FD7">
        <w:t>Discussion</w:t>
      </w:r>
    </w:p>
    <w:p w14:paraId="05AB05FA" w14:textId="0AC07A32" w:rsidR="00CD4C7B" w:rsidRDefault="008529B3" w:rsidP="00CD4C7B">
      <w:pPr>
        <w:pStyle w:val="00BodyText"/>
        <w:spacing w:after="0"/>
        <w:rPr>
          <w:rFonts w:ascii="Times New Roman" w:hAnsi="Times New Roman"/>
          <w:sz w:val="20"/>
          <w:lang w:val="en-GB"/>
        </w:rPr>
      </w:pPr>
      <w:r>
        <w:rPr>
          <w:rFonts w:ascii="Times New Roman" w:hAnsi="Times New Roman"/>
          <w:sz w:val="20"/>
          <w:lang w:val="en-GB"/>
        </w:rPr>
        <w:t>The following stage 2 update was captured as outcome from RAN3#107bis-e, without consensus:</w:t>
      </w:r>
    </w:p>
    <w:p w14:paraId="151C7CAD" w14:textId="00E7A848" w:rsidR="008529B3" w:rsidRDefault="008529B3" w:rsidP="00CD4C7B">
      <w:pPr>
        <w:pStyle w:val="00BodyText"/>
        <w:spacing w:after="0"/>
        <w:rPr>
          <w:rFonts w:ascii="Times New Roman" w:hAnsi="Times New Roman"/>
          <w:sz w:val="20"/>
          <w:lang w:val="en-GB"/>
        </w:rPr>
      </w:pPr>
    </w:p>
    <w:p w14:paraId="00712AD4" w14:textId="77777777" w:rsidR="008529B3" w:rsidRPr="00A167A3" w:rsidRDefault="008529B3" w:rsidP="008529B3">
      <w:pPr>
        <w:pStyle w:val="B1"/>
      </w:pPr>
      <w:r w:rsidRPr="00A167A3">
        <w:t>-</w:t>
      </w:r>
      <w:r w:rsidRPr="00A167A3">
        <w:tab/>
        <w:t>Global gNB ID: used to identify gNBs globally. The Global gNB ID is constructed from the PLMN identity the gNB belongs to and the gNB ID. The MCC and MNC are the same as included in the NCGI.</w:t>
      </w:r>
    </w:p>
    <w:p w14:paraId="1084B03B" w14:textId="77777777" w:rsidR="008529B3" w:rsidRPr="008529B3" w:rsidRDefault="008529B3" w:rsidP="008529B3">
      <w:pPr>
        <w:pStyle w:val="NO"/>
        <w:rPr>
          <w:color w:val="FF0000"/>
          <w:u w:val="single"/>
        </w:rPr>
      </w:pPr>
      <w:r w:rsidRPr="008529B3">
        <w:rPr>
          <w:color w:val="FF0000"/>
          <w:u w:val="single"/>
        </w:rPr>
        <w:t>NOTE 2:</w:t>
      </w:r>
      <w:r w:rsidRPr="008529B3">
        <w:rPr>
          <w:color w:val="FF0000"/>
          <w:u w:val="single"/>
        </w:rPr>
        <w:tab/>
        <w:t>It is not precluded that a cell served by a gNB does not broadcast the PLMN ID included in the Global gNB ID.</w:t>
      </w:r>
    </w:p>
    <w:p w14:paraId="0EA1077A" w14:textId="0B808EEB" w:rsidR="008529B3" w:rsidRDefault="008529B3" w:rsidP="00CD4C7B">
      <w:pPr>
        <w:pStyle w:val="00BodyText"/>
        <w:spacing w:after="0"/>
        <w:rPr>
          <w:rFonts w:ascii="Times New Roman" w:hAnsi="Times New Roman"/>
          <w:sz w:val="20"/>
          <w:lang w:val="en-GB"/>
        </w:rPr>
      </w:pPr>
      <w:r>
        <w:rPr>
          <w:rFonts w:ascii="Times New Roman" w:hAnsi="Times New Roman"/>
          <w:sz w:val="20"/>
          <w:lang w:val="en-GB"/>
        </w:rPr>
        <w:t xml:space="preserve">(For complete view </w:t>
      </w:r>
      <w:r w:rsidR="00C524BE">
        <w:rPr>
          <w:rFonts w:ascii="Times New Roman" w:hAnsi="Times New Roman"/>
          <w:sz w:val="20"/>
          <w:lang w:val="en-GB"/>
        </w:rPr>
        <w:t xml:space="preserve">of the changes </w:t>
      </w:r>
      <w:r>
        <w:rPr>
          <w:rFonts w:ascii="Times New Roman" w:hAnsi="Times New Roman"/>
          <w:sz w:val="20"/>
          <w:lang w:val="en-GB"/>
        </w:rPr>
        <w:t>see the CR in R3-202863).</w:t>
      </w:r>
    </w:p>
    <w:p w14:paraId="759D0E4B" w14:textId="253A37A7" w:rsidR="008529B3" w:rsidRDefault="008529B3" w:rsidP="00CD4C7B">
      <w:pPr>
        <w:pStyle w:val="00BodyText"/>
        <w:spacing w:after="0"/>
        <w:rPr>
          <w:rFonts w:ascii="Times New Roman" w:hAnsi="Times New Roman"/>
          <w:sz w:val="20"/>
          <w:lang w:val="en-GB"/>
        </w:rPr>
      </w:pPr>
    </w:p>
    <w:p w14:paraId="4575C46E" w14:textId="53AD2187" w:rsidR="008529B3" w:rsidRDefault="00C524BE" w:rsidP="00CD4C7B">
      <w:pPr>
        <w:pStyle w:val="00BodyText"/>
        <w:spacing w:after="0"/>
        <w:rPr>
          <w:rFonts w:ascii="Times New Roman" w:hAnsi="Times New Roman"/>
          <w:sz w:val="20"/>
          <w:lang w:val="en-GB"/>
        </w:rPr>
      </w:pPr>
      <w:r>
        <w:rPr>
          <w:rFonts w:ascii="Times New Roman" w:hAnsi="Times New Roman"/>
          <w:sz w:val="20"/>
          <w:lang w:val="en-GB"/>
        </w:rPr>
        <w:t xml:space="preserve">Base on this note, a vendor or an operator deploying a network may understand that a standards compliant network </w:t>
      </w:r>
      <w:r w:rsidR="003F64BA">
        <w:rPr>
          <w:rFonts w:ascii="Times New Roman" w:hAnsi="Times New Roman"/>
          <w:sz w:val="20"/>
          <w:lang w:val="en-GB"/>
        </w:rPr>
        <w:t>actually</w:t>
      </w:r>
      <w:r>
        <w:rPr>
          <w:rFonts w:ascii="Times New Roman" w:hAnsi="Times New Roman"/>
          <w:sz w:val="20"/>
          <w:lang w:val="en-GB"/>
        </w:rPr>
        <w:t xml:space="preserve"> support</w:t>
      </w:r>
      <w:r w:rsidR="003F64BA">
        <w:rPr>
          <w:rFonts w:ascii="Times New Roman" w:hAnsi="Times New Roman"/>
          <w:sz w:val="20"/>
          <w:lang w:val="en-GB"/>
        </w:rPr>
        <w:t>s</w:t>
      </w:r>
      <w:r>
        <w:rPr>
          <w:rFonts w:ascii="Times New Roman" w:hAnsi="Times New Roman"/>
          <w:sz w:val="20"/>
          <w:lang w:val="en-GB"/>
        </w:rPr>
        <w:t xml:space="preserve"> that an NR cell </w:t>
      </w:r>
      <w:r w:rsidRPr="00C524BE">
        <w:rPr>
          <w:rFonts w:ascii="Times New Roman" w:hAnsi="Times New Roman"/>
          <w:sz w:val="20"/>
          <w:lang w:val="en-GB"/>
        </w:rPr>
        <w:t>does not broadcast the PLMN ID included in the Global gNB ID</w:t>
      </w:r>
      <w:r>
        <w:rPr>
          <w:rFonts w:ascii="Times New Roman" w:hAnsi="Times New Roman"/>
          <w:sz w:val="20"/>
          <w:lang w:val="en-GB"/>
        </w:rPr>
        <w:t xml:space="preserve">. This is true only for the case where the cell doesn't broadcast any PLMN ID at all, as allowed if the cell </w:t>
      </w:r>
      <w:r w:rsidR="003F64BA">
        <w:rPr>
          <w:rFonts w:ascii="Times New Roman" w:hAnsi="Times New Roman"/>
          <w:sz w:val="20"/>
          <w:lang w:val="en-GB"/>
        </w:rPr>
        <w:t xml:space="preserve">only </w:t>
      </w:r>
      <w:r>
        <w:rPr>
          <w:rFonts w:ascii="Times New Roman" w:hAnsi="Times New Roman"/>
          <w:sz w:val="20"/>
          <w:lang w:val="en-GB"/>
        </w:rPr>
        <w:t xml:space="preserve">serves as PSCell/SCell. </w:t>
      </w:r>
      <w:r w:rsidR="003F64BA">
        <w:rPr>
          <w:rFonts w:ascii="Times New Roman" w:hAnsi="Times New Roman"/>
          <w:sz w:val="20"/>
          <w:lang w:val="en-GB"/>
        </w:rPr>
        <w:t xml:space="preserve">But that </w:t>
      </w:r>
      <w:r w:rsidR="00F07DCD">
        <w:rPr>
          <w:rFonts w:ascii="Times New Roman" w:hAnsi="Times New Roman"/>
          <w:sz w:val="20"/>
          <w:lang w:val="en-GB"/>
        </w:rPr>
        <w:t>case would be better documented by a note located directly under NOTE 1 (see R3-202863).</w:t>
      </w:r>
      <w:r w:rsidR="0097150B">
        <w:rPr>
          <w:rFonts w:ascii="Times New Roman" w:hAnsi="Times New Roman"/>
          <w:sz w:val="20"/>
          <w:lang w:val="en-GB"/>
        </w:rPr>
        <w:t xml:space="preserve"> And in this case the deployment will not rely on ANR in order to establish neighbour relations, so additional documentation may not be needed.</w:t>
      </w:r>
    </w:p>
    <w:p w14:paraId="2DF8E2B2" w14:textId="401D7F9C" w:rsidR="00F07DCD" w:rsidRDefault="00F07DCD" w:rsidP="00CD4C7B">
      <w:pPr>
        <w:pStyle w:val="00BodyText"/>
        <w:spacing w:after="0"/>
        <w:rPr>
          <w:rFonts w:ascii="Times New Roman" w:hAnsi="Times New Roman"/>
          <w:sz w:val="20"/>
          <w:lang w:val="en-GB"/>
        </w:rPr>
      </w:pPr>
    </w:p>
    <w:p w14:paraId="27519B89" w14:textId="28D93231" w:rsidR="003F64BA" w:rsidRDefault="00F07DCD" w:rsidP="00CD4C7B">
      <w:pPr>
        <w:pStyle w:val="00BodyText"/>
        <w:spacing w:after="0"/>
        <w:rPr>
          <w:rFonts w:ascii="Times New Roman" w:hAnsi="Times New Roman"/>
          <w:sz w:val="20"/>
          <w:lang w:val="en-GB"/>
        </w:rPr>
      </w:pPr>
      <w:r>
        <w:rPr>
          <w:rFonts w:ascii="Times New Roman" w:hAnsi="Times New Roman"/>
          <w:sz w:val="20"/>
          <w:lang w:val="en-GB"/>
        </w:rPr>
        <w:t>Other cases, i.e. where the cell broadcasts some PLMN ID B, while the Global gNB ID uses PLMN ID A, are precluded by the standard (for LTE since Rel-8), by the statement "</w:t>
      </w:r>
      <w:r w:rsidRPr="00F07DCD">
        <w:rPr>
          <w:rFonts w:ascii="Times New Roman" w:hAnsi="Times New Roman"/>
          <w:i/>
          <w:iCs/>
          <w:sz w:val="20"/>
          <w:lang w:val="en-GB"/>
        </w:rPr>
        <w:t>The MCC and MNC are the same as included in the NCGI</w:t>
      </w:r>
      <w:r>
        <w:rPr>
          <w:rFonts w:ascii="Times New Roman" w:hAnsi="Times New Roman"/>
          <w:sz w:val="20"/>
          <w:lang w:val="en-GB"/>
        </w:rPr>
        <w:t xml:space="preserve">". </w:t>
      </w:r>
    </w:p>
    <w:p w14:paraId="5F4A9793" w14:textId="2B77A069" w:rsidR="00F07DCD" w:rsidRDefault="00F07DCD" w:rsidP="00CD4C7B">
      <w:pPr>
        <w:pStyle w:val="00BodyText"/>
        <w:spacing w:after="0"/>
        <w:rPr>
          <w:rFonts w:ascii="Times New Roman" w:hAnsi="Times New Roman"/>
          <w:sz w:val="20"/>
          <w:lang w:val="en-GB"/>
        </w:rPr>
      </w:pPr>
      <w:r>
        <w:rPr>
          <w:rFonts w:ascii="Times New Roman" w:hAnsi="Times New Roman"/>
          <w:sz w:val="20"/>
          <w:lang w:val="en-GB"/>
        </w:rPr>
        <w:t xml:space="preserve">Implemented ANR mechanisms and routing mechanisms in the core network (MME, AMF) may have relied on this link between </w:t>
      </w:r>
      <w:r w:rsidRPr="00F07DCD">
        <w:rPr>
          <w:rFonts w:ascii="Times New Roman" w:hAnsi="Times New Roman"/>
          <w:sz w:val="20"/>
          <w:lang w:val="en-GB"/>
        </w:rPr>
        <w:t>Global node ID and Global cell ID</w:t>
      </w:r>
      <w:r>
        <w:rPr>
          <w:rFonts w:ascii="Times New Roman" w:hAnsi="Times New Roman"/>
          <w:sz w:val="20"/>
          <w:lang w:val="en-GB"/>
        </w:rPr>
        <w:t xml:space="preserve"> for many years.</w:t>
      </w:r>
    </w:p>
    <w:p w14:paraId="32193DCE" w14:textId="77777777" w:rsidR="00F07DCD" w:rsidRDefault="00F07DCD" w:rsidP="00CD4C7B">
      <w:pPr>
        <w:pStyle w:val="00BodyText"/>
        <w:spacing w:after="0"/>
        <w:rPr>
          <w:rFonts w:ascii="Times New Roman" w:hAnsi="Times New Roman"/>
          <w:sz w:val="20"/>
          <w:lang w:val="en-GB"/>
        </w:rPr>
      </w:pPr>
    </w:p>
    <w:p w14:paraId="43213B72" w14:textId="28799A66" w:rsidR="003F64BA" w:rsidRDefault="00F07DCD" w:rsidP="00CD4C7B">
      <w:pPr>
        <w:pStyle w:val="00BodyText"/>
        <w:spacing w:after="0"/>
        <w:rPr>
          <w:rFonts w:ascii="Times New Roman" w:hAnsi="Times New Roman"/>
          <w:sz w:val="20"/>
          <w:lang w:val="en-GB"/>
        </w:rPr>
      </w:pPr>
      <w:r>
        <w:rPr>
          <w:rFonts w:ascii="Times New Roman" w:hAnsi="Times New Roman"/>
          <w:sz w:val="20"/>
          <w:lang w:val="en-GB"/>
        </w:rPr>
        <w:t xml:space="preserve">The NOTE 2 in R3-202863 therefore seems non backwards compatible and </w:t>
      </w:r>
      <w:r w:rsidR="003F64BA">
        <w:rPr>
          <w:rFonts w:ascii="Times New Roman" w:hAnsi="Times New Roman"/>
          <w:sz w:val="20"/>
          <w:lang w:val="en-GB"/>
        </w:rPr>
        <w:t xml:space="preserve">doesn't help to understand how to support the targeted deployments. </w:t>
      </w:r>
      <w:r w:rsidR="000753E7">
        <w:rPr>
          <w:rFonts w:ascii="Times New Roman" w:hAnsi="Times New Roman"/>
          <w:sz w:val="20"/>
          <w:lang w:val="en-GB"/>
        </w:rPr>
        <w:t xml:space="preserve">We believe that OAM support </w:t>
      </w:r>
      <w:bookmarkStart w:id="2" w:name="_GoBack"/>
      <w:bookmarkEnd w:id="2"/>
      <w:r w:rsidR="000753E7">
        <w:rPr>
          <w:rFonts w:ascii="Times New Roman" w:hAnsi="Times New Roman"/>
          <w:sz w:val="20"/>
          <w:lang w:val="en-GB"/>
        </w:rPr>
        <w:t xml:space="preserve">or specific implementation are required in these cases. </w:t>
      </w:r>
      <w:r w:rsidR="003F64BA">
        <w:rPr>
          <w:rFonts w:ascii="Times New Roman" w:hAnsi="Times New Roman"/>
          <w:sz w:val="20"/>
          <w:lang w:val="en-GB"/>
        </w:rPr>
        <w:t>A more suitable note therefore seems to be:</w:t>
      </w:r>
    </w:p>
    <w:p w14:paraId="2222B502" w14:textId="2886E1DF" w:rsidR="003F64BA" w:rsidRDefault="003F64BA" w:rsidP="00CD4C7B">
      <w:pPr>
        <w:pStyle w:val="00BodyText"/>
        <w:spacing w:after="0"/>
        <w:rPr>
          <w:rFonts w:ascii="Times New Roman" w:hAnsi="Times New Roman"/>
          <w:sz w:val="20"/>
          <w:lang w:val="en-GB"/>
        </w:rPr>
      </w:pPr>
    </w:p>
    <w:p w14:paraId="5882C308" w14:textId="05263AD7" w:rsidR="003F64BA" w:rsidRPr="003F64BA" w:rsidRDefault="003F64BA" w:rsidP="003F64BA">
      <w:pPr>
        <w:pStyle w:val="B1"/>
        <w:rPr>
          <w:color w:val="FF0000"/>
          <w:u w:val="single"/>
        </w:rPr>
      </w:pPr>
      <w:r w:rsidRPr="003F64BA">
        <w:rPr>
          <w:color w:val="FF0000"/>
          <w:u w:val="single"/>
        </w:rPr>
        <w:t>NOTE 2:</w:t>
      </w:r>
      <w:r w:rsidRPr="003F64BA">
        <w:rPr>
          <w:color w:val="FF0000"/>
          <w:u w:val="single"/>
        </w:rPr>
        <w:tab/>
        <w:t>How to manage the scenario where a cell served by a gNB does not broadcast the PLMN ID included in the Global gNB ID is left to OAM and/or implementation.</w:t>
      </w:r>
    </w:p>
    <w:p w14:paraId="5994012D" w14:textId="2FEA7BAF" w:rsidR="003F64BA" w:rsidRDefault="003F64BA" w:rsidP="00CD4C7B">
      <w:pPr>
        <w:pStyle w:val="00BodyText"/>
        <w:spacing w:after="0"/>
        <w:rPr>
          <w:rFonts w:ascii="Times New Roman" w:hAnsi="Times New Roman"/>
          <w:sz w:val="20"/>
          <w:lang w:val="en-GB"/>
        </w:rPr>
      </w:pPr>
      <w:r>
        <w:rPr>
          <w:rFonts w:ascii="Times New Roman" w:hAnsi="Times New Roman"/>
          <w:sz w:val="20"/>
          <w:lang w:val="en-GB"/>
        </w:rPr>
        <w:t xml:space="preserve">In case further </w:t>
      </w:r>
      <w:r w:rsidR="0097150B">
        <w:rPr>
          <w:rFonts w:ascii="Times New Roman" w:hAnsi="Times New Roman"/>
          <w:sz w:val="20"/>
          <w:lang w:val="en-GB"/>
        </w:rPr>
        <w:t>description</w:t>
      </w:r>
      <w:r>
        <w:rPr>
          <w:rFonts w:ascii="Times New Roman" w:hAnsi="Times New Roman"/>
          <w:sz w:val="20"/>
          <w:lang w:val="en-GB"/>
        </w:rPr>
        <w:t xml:space="preserve"> is desired</w:t>
      </w:r>
      <w:r w:rsidR="0097150B">
        <w:rPr>
          <w:rFonts w:ascii="Times New Roman" w:hAnsi="Times New Roman"/>
          <w:sz w:val="20"/>
          <w:lang w:val="en-GB"/>
        </w:rPr>
        <w:t xml:space="preserve"> in the specification</w:t>
      </w:r>
      <w:r>
        <w:rPr>
          <w:rFonts w:ascii="Times New Roman" w:hAnsi="Times New Roman"/>
          <w:sz w:val="20"/>
          <w:lang w:val="en-GB"/>
        </w:rPr>
        <w:t>, we believe that the targeted deployment scenarios should be discussed in RAN3 in more detail.</w:t>
      </w:r>
    </w:p>
    <w:p w14:paraId="3B276A39" w14:textId="7222F12F" w:rsidR="003F64BA" w:rsidRDefault="003F64BA" w:rsidP="00CD4C7B">
      <w:pPr>
        <w:pStyle w:val="00BodyText"/>
        <w:spacing w:after="0"/>
        <w:rPr>
          <w:rFonts w:ascii="Times New Roman" w:hAnsi="Times New Roman"/>
          <w:sz w:val="20"/>
          <w:lang w:val="en-GB"/>
        </w:rPr>
      </w:pPr>
    </w:p>
    <w:p w14:paraId="418B882B" w14:textId="6594C4C0" w:rsidR="003F64BA" w:rsidRPr="003F64BA" w:rsidRDefault="003F64BA" w:rsidP="00CD4C7B">
      <w:pPr>
        <w:pStyle w:val="00BodyText"/>
        <w:spacing w:after="0"/>
        <w:rPr>
          <w:rFonts w:ascii="Times New Roman" w:hAnsi="Times New Roman"/>
          <w:b/>
          <w:bCs/>
          <w:sz w:val="20"/>
          <w:lang w:val="en-GB"/>
        </w:rPr>
      </w:pPr>
      <w:r w:rsidRPr="003F64BA">
        <w:rPr>
          <w:rFonts w:ascii="Times New Roman" w:hAnsi="Times New Roman"/>
          <w:b/>
          <w:bCs/>
          <w:sz w:val="20"/>
          <w:lang w:val="en-GB"/>
        </w:rPr>
        <w:t>Proposal: Update NOTE 2 in R3-202863/R3-202862.</w:t>
      </w:r>
    </w:p>
    <w:p w14:paraId="12FF31F3" w14:textId="632BFC0F" w:rsidR="008529B3" w:rsidRDefault="008529B3" w:rsidP="00CD4C7B">
      <w:pPr>
        <w:pStyle w:val="00BodyText"/>
        <w:spacing w:after="0"/>
        <w:rPr>
          <w:rFonts w:ascii="Times New Roman" w:hAnsi="Times New Roman"/>
          <w:sz w:val="20"/>
          <w:lang w:val="en-GB"/>
        </w:rPr>
      </w:pPr>
    </w:p>
    <w:p w14:paraId="2971C1EA" w14:textId="77777777" w:rsidR="008529B3" w:rsidRPr="00972FD7" w:rsidRDefault="008529B3"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7B0A6641" w14:textId="5131E7B2" w:rsidR="003F64BA" w:rsidRDefault="003F64BA" w:rsidP="003F64BA">
      <w:pPr>
        <w:pStyle w:val="00BodyText"/>
        <w:spacing w:after="0"/>
        <w:rPr>
          <w:rFonts w:ascii="Times New Roman" w:hAnsi="Times New Roman"/>
          <w:b/>
          <w:bCs/>
          <w:sz w:val="20"/>
          <w:lang w:val="en-GB"/>
        </w:rPr>
      </w:pPr>
      <w:r w:rsidRPr="003F64BA">
        <w:rPr>
          <w:rFonts w:ascii="Times New Roman" w:hAnsi="Times New Roman"/>
          <w:b/>
          <w:bCs/>
          <w:sz w:val="20"/>
          <w:lang w:val="en-GB"/>
        </w:rPr>
        <w:t>Proposal: Update NOTE 2 in R3-202863/R3-202862.</w:t>
      </w:r>
    </w:p>
    <w:p w14:paraId="029280A5" w14:textId="495DD969" w:rsidR="003F64BA" w:rsidRDefault="003F64BA" w:rsidP="003F64BA">
      <w:pPr>
        <w:pStyle w:val="00BodyText"/>
        <w:spacing w:after="0"/>
        <w:rPr>
          <w:rFonts w:ascii="Times New Roman" w:hAnsi="Times New Roman"/>
          <w:b/>
          <w:bCs/>
          <w:sz w:val="20"/>
          <w:lang w:val="en-GB"/>
        </w:rPr>
      </w:pPr>
    </w:p>
    <w:p w14:paraId="306A7614" w14:textId="417822B4" w:rsidR="003F64BA" w:rsidRPr="003F64BA" w:rsidRDefault="003F64BA" w:rsidP="003F64BA">
      <w:pPr>
        <w:pStyle w:val="00BodyText"/>
        <w:spacing w:after="0"/>
        <w:rPr>
          <w:rFonts w:ascii="Times New Roman" w:hAnsi="Times New Roman"/>
          <w:sz w:val="20"/>
          <w:lang w:val="en-GB"/>
        </w:rPr>
      </w:pPr>
      <w:r>
        <w:rPr>
          <w:rFonts w:ascii="Times New Roman" w:hAnsi="Times New Roman"/>
          <w:sz w:val="20"/>
          <w:lang w:val="en-GB"/>
        </w:rPr>
        <w:t>We have submitted updated CRs</w:t>
      </w:r>
      <w:r w:rsidR="004F1357">
        <w:rPr>
          <w:rFonts w:ascii="Times New Roman" w:hAnsi="Times New Roman"/>
          <w:sz w:val="20"/>
          <w:lang w:val="en-GB"/>
        </w:rPr>
        <w:t xml:space="preserve"> </w:t>
      </w:r>
      <w:r w:rsidR="00B75416">
        <w:rPr>
          <w:rFonts w:ascii="Times New Roman" w:hAnsi="Times New Roman"/>
          <w:sz w:val="20"/>
          <w:lang w:val="en-GB"/>
        </w:rPr>
        <w:t>to TS 38.300 in [1] and [2].</w:t>
      </w:r>
    </w:p>
    <w:p w14:paraId="193FD945" w14:textId="77777777" w:rsidR="00CD4C7B" w:rsidRPr="006E13D1" w:rsidRDefault="00CD4C7B" w:rsidP="00CD4C7B">
      <w:pPr>
        <w:pStyle w:val="Heading1"/>
      </w:pPr>
      <w:r w:rsidRPr="006E13D1">
        <w:t>References</w:t>
      </w:r>
    </w:p>
    <w:p w14:paraId="3EDC206E" w14:textId="05637036" w:rsidR="00CD4C7B" w:rsidRPr="006E13D1" w:rsidRDefault="00AF78D5" w:rsidP="00606DA9">
      <w:pPr>
        <w:overflowPunct w:val="0"/>
        <w:autoSpaceDE w:val="0"/>
        <w:autoSpaceDN w:val="0"/>
        <w:adjustRightInd w:val="0"/>
        <w:ind w:left="567" w:hanging="567"/>
        <w:textAlignment w:val="baseline"/>
      </w:pPr>
      <w:bookmarkStart w:id="3" w:name="_Ref75086397"/>
      <w:r>
        <w:t>[</w:t>
      </w:r>
      <w:r w:rsidR="00B75416">
        <w:t>1</w:t>
      </w:r>
      <w:r>
        <w:t>]</w:t>
      </w:r>
      <w:r>
        <w:tab/>
      </w:r>
      <w:r>
        <w:tab/>
      </w:r>
      <w:r w:rsidR="00E90ABE">
        <w:t>R3-</w:t>
      </w:r>
      <w:r w:rsidR="00540B31">
        <w:t>20</w:t>
      </w:r>
      <w:r w:rsidR="00B757A4">
        <w:t>3810</w:t>
      </w:r>
      <w:r w:rsidR="00CD4C7B" w:rsidRPr="006E13D1">
        <w:t xml:space="preserve">, </w:t>
      </w:r>
      <w:r w:rsidR="00B757A4" w:rsidRPr="00B757A4">
        <w:t>Global Cell Identities and Global NG-RAN Node Identities when NR access is shared</w:t>
      </w:r>
      <w:r w:rsidR="00CD4C7B" w:rsidRPr="006E13D1">
        <w:t xml:space="preserve">, </w:t>
      </w:r>
      <w:bookmarkEnd w:id="3"/>
      <w:r w:rsidR="00360054">
        <w:t xml:space="preserve">Rel-15, </w:t>
      </w:r>
      <w:r w:rsidR="00B757A4" w:rsidRPr="00B757A4">
        <w:t>Nokia, Nokia Shanghai Bell</w:t>
      </w:r>
    </w:p>
    <w:p w14:paraId="7A266E17" w14:textId="2FDF9249" w:rsidR="00596F3F" w:rsidRPr="006E13D1" w:rsidRDefault="00596F3F" w:rsidP="00596F3F">
      <w:pPr>
        <w:overflowPunct w:val="0"/>
        <w:autoSpaceDE w:val="0"/>
        <w:autoSpaceDN w:val="0"/>
        <w:adjustRightInd w:val="0"/>
        <w:ind w:left="567" w:hanging="567"/>
        <w:textAlignment w:val="baseline"/>
      </w:pPr>
      <w:r>
        <w:t>[</w:t>
      </w:r>
      <w:r>
        <w:t>2</w:t>
      </w:r>
      <w:r>
        <w:t>]</w:t>
      </w:r>
      <w:r>
        <w:tab/>
      </w:r>
      <w:r>
        <w:tab/>
        <w:t>R3-20381</w:t>
      </w:r>
      <w:r>
        <w:t>1</w:t>
      </w:r>
      <w:r w:rsidRPr="006E13D1">
        <w:t xml:space="preserve">, </w:t>
      </w:r>
      <w:r w:rsidRPr="00B757A4">
        <w:t>Global Cell Identities and Global NG-RAN Node Identities when NR access is shared</w:t>
      </w:r>
      <w:r w:rsidRPr="006E13D1">
        <w:t xml:space="preserve">, </w:t>
      </w:r>
      <w:r>
        <w:t>Rel-1</w:t>
      </w:r>
      <w:r>
        <w:t>6</w:t>
      </w:r>
      <w:r>
        <w:t xml:space="preserve">, </w:t>
      </w:r>
      <w:r w:rsidRPr="00B757A4">
        <w:t>Nokia, Nokia Shanghai Bell</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79AA" w14:textId="77777777" w:rsidR="00185E2A" w:rsidRDefault="00185E2A">
      <w:r>
        <w:separator/>
      </w:r>
    </w:p>
  </w:endnote>
  <w:endnote w:type="continuationSeparator" w:id="0">
    <w:p w14:paraId="17F4D274" w14:textId="77777777" w:rsidR="00185E2A" w:rsidRDefault="0018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E926" w14:textId="77777777" w:rsidR="00185E2A" w:rsidRDefault="00185E2A">
      <w:r>
        <w:separator/>
      </w:r>
    </w:p>
  </w:footnote>
  <w:footnote w:type="continuationSeparator" w:id="0">
    <w:p w14:paraId="116439CE" w14:textId="77777777" w:rsidR="00185E2A" w:rsidRDefault="00185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753E7"/>
    <w:rsid w:val="00080512"/>
    <w:rsid w:val="00083F0D"/>
    <w:rsid w:val="000B7BCF"/>
    <w:rsid w:val="000C556D"/>
    <w:rsid w:val="000D376D"/>
    <w:rsid w:val="000D58AB"/>
    <w:rsid w:val="001075B7"/>
    <w:rsid w:val="001370F2"/>
    <w:rsid w:val="001549DD"/>
    <w:rsid w:val="00185E2A"/>
    <w:rsid w:val="00194CD0"/>
    <w:rsid w:val="001B08B3"/>
    <w:rsid w:val="001C4281"/>
    <w:rsid w:val="001D0D3F"/>
    <w:rsid w:val="001F168B"/>
    <w:rsid w:val="001F70B7"/>
    <w:rsid w:val="0022606D"/>
    <w:rsid w:val="002305DD"/>
    <w:rsid w:val="00243BC7"/>
    <w:rsid w:val="002623FC"/>
    <w:rsid w:val="002747EC"/>
    <w:rsid w:val="002855BF"/>
    <w:rsid w:val="002E1692"/>
    <w:rsid w:val="002F0D22"/>
    <w:rsid w:val="003172DC"/>
    <w:rsid w:val="00326069"/>
    <w:rsid w:val="003454FC"/>
    <w:rsid w:val="0035462D"/>
    <w:rsid w:val="00360054"/>
    <w:rsid w:val="00363177"/>
    <w:rsid w:val="003B3FB3"/>
    <w:rsid w:val="003C4E37"/>
    <w:rsid w:val="003E16BE"/>
    <w:rsid w:val="003E7223"/>
    <w:rsid w:val="003F51B6"/>
    <w:rsid w:val="003F64BA"/>
    <w:rsid w:val="00401855"/>
    <w:rsid w:val="00464695"/>
    <w:rsid w:val="004D3578"/>
    <w:rsid w:val="004D380D"/>
    <w:rsid w:val="004D3F58"/>
    <w:rsid w:val="004D5E47"/>
    <w:rsid w:val="004E16CC"/>
    <w:rsid w:val="004E213A"/>
    <w:rsid w:val="004E21FC"/>
    <w:rsid w:val="004F1357"/>
    <w:rsid w:val="00503171"/>
    <w:rsid w:val="005153FE"/>
    <w:rsid w:val="005240A4"/>
    <w:rsid w:val="00531C12"/>
    <w:rsid w:val="00534DA0"/>
    <w:rsid w:val="00540B31"/>
    <w:rsid w:val="00543E6C"/>
    <w:rsid w:val="00544635"/>
    <w:rsid w:val="00565087"/>
    <w:rsid w:val="0056573F"/>
    <w:rsid w:val="00565BE9"/>
    <w:rsid w:val="00571CE2"/>
    <w:rsid w:val="00596F3F"/>
    <w:rsid w:val="005A4971"/>
    <w:rsid w:val="005B1232"/>
    <w:rsid w:val="005B2EEF"/>
    <w:rsid w:val="005D4274"/>
    <w:rsid w:val="00605E3E"/>
    <w:rsid w:val="00606DA9"/>
    <w:rsid w:val="00611566"/>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40916"/>
    <w:rsid w:val="008529B3"/>
    <w:rsid w:val="00853EDD"/>
    <w:rsid w:val="008604EE"/>
    <w:rsid w:val="008768CA"/>
    <w:rsid w:val="00880559"/>
    <w:rsid w:val="0090271F"/>
    <w:rsid w:val="00903D8C"/>
    <w:rsid w:val="00942EC2"/>
    <w:rsid w:val="00954BCB"/>
    <w:rsid w:val="00961B32"/>
    <w:rsid w:val="0097150B"/>
    <w:rsid w:val="00971683"/>
    <w:rsid w:val="00972FD7"/>
    <w:rsid w:val="00974BB0"/>
    <w:rsid w:val="00994A47"/>
    <w:rsid w:val="009A6E4F"/>
    <w:rsid w:val="009C4D5C"/>
    <w:rsid w:val="009D0A28"/>
    <w:rsid w:val="009F3B54"/>
    <w:rsid w:val="009F7E6E"/>
    <w:rsid w:val="00A10F02"/>
    <w:rsid w:val="00A53724"/>
    <w:rsid w:val="00A82346"/>
    <w:rsid w:val="00A8361A"/>
    <w:rsid w:val="00A9671C"/>
    <w:rsid w:val="00AD4BCF"/>
    <w:rsid w:val="00AF78D5"/>
    <w:rsid w:val="00B1063A"/>
    <w:rsid w:val="00B15449"/>
    <w:rsid w:val="00B75416"/>
    <w:rsid w:val="00B757A4"/>
    <w:rsid w:val="00B9781E"/>
    <w:rsid w:val="00BF79F1"/>
    <w:rsid w:val="00C03035"/>
    <w:rsid w:val="00C33079"/>
    <w:rsid w:val="00C43B31"/>
    <w:rsid w:val="00C50536"/>
    <w:rsid w:val="00C524BE"/>
    <w:rsid w:val="00CA3D0C"/>
    <w:rsid w:val="00CB6651"/>
    <w:rsid w:val="00CB6887"/>
    <w:rsid w:val="00CD4C7B"/>
    <w:rsid w:val="00D22038"/>
    <w:rsid w:val="00D738D6"/>
    <w:rsid w:val="00D80795"/>
    <w:rsid w:val="00D87E00"/>
    <w:rsid w:val="00D9134D"/>
    <w:rsid w:val="00D97CD9"/>
    <w:rsid w:val="00DA7A03"/>
    <w:rsid w:val="00DB1818"/>
    <w:rsid w:val="00DC309B"/>
    <w:rsid w:val="00DC373D"/>
    <w:rsid w:val="00DC4DA2"/>
    <w:rsid w:val="00DE1406"/>
    <w:rsid w:val="00E07838"/>
    <w:rsid w:val="00E340BC"/>
    <w:rsid w:val="00E62835"/>
    <w:rsid w:val="00E77645"/>
    <w:rsid w:val="00E852FF"/>
    <w:rsid w:val="00E90ABE"/>
    <w:rsid w:val="00EA22F8"/>
    <w:rsid w:val="00EC4A25"/>
    <w:rsid w:val="00EE0A1E"/>
    <w:rsid w:val="00F025A2"/>
    <w:rsid w:val="00F07DCD"/>
    <w:rsid w:val="00F2026E"/>
    <w:rsid w:val="00F2210A"/>
    <w:rsid w:val="00F37743"/>
    <w:rsid w:val="00F54A3D"/>
    <w:rsid w:val="00F653B8"/>
    <w:rsid w:val="00F76F8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rsid w:val="008529B3"/>
    <w:rPr>
      <w:lang w:val="en-GB" w:eastAsia="en-US"/>
    </w:rPr>
  </w:style>
  <w:style w:type="paragraph" w:styleId="BalloonText">
    <w:name w:val="Balloon Text"/>
    <w:basedOn w:val="Normal"/>
    <w:link w:val="BalloonTextChar"/>
    <w:semiHidden/>
    <w:unhideWhenUsed/>
    <w:rsid w:val="00C524BE"/>
    <w:pPr>
      <w:spacing w:after="0"/>
    </w:pPr>
    <w:rPr>
      <w:rFonts w:ascii="Segoe UI" w:hAnsi="Segoe UI" w:cs="Segoe UI"/>
      <w:sz w:val="18"/>
      <w:szCs w:val="18"/>
    </w:rPr>
  </w:style>
  <w:style w:type="character" w:customStyle="1" w:styleId="BalloonTextChar">
    <w:name w:val="Balloon Text Char"/>
    <w:link w:val="BalloonText"/>
    <w:semiHidden/>
    <w:rsid w:val="00C524B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48</TotalTime>
  <Pages>2</Pages>
  <Words>435</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19</cp:revision>
  <dcterms:created xsi:type="dcterms:W3CDTF">2019-06-29T13:33:00Z</dcterms:created>
  <dcterms:modified xsi:type="dcterms:W3CDTF">2020-05-21T23:36:00Z</dcterms:modified>
</cp:coreProperties>
</file>